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YENİ GÜVENLİK DUVARI (Fortigate 401F - “FG-401F-BDL-950-36”) VE 3 YIL SUPPORT ALIMI VE KURULUMU ALINACAKTIR</w:t>
      </w:r>
      <w:r w:rsidDel="00000000" w:rsidR="00000000" w:rsidRPr="00000000">
        <w:rPr>
          <w:rtl w:val="0"/>
        </w:rPr>
      </w:r>
    </w:p>
    <w:p w:rsidR="00000000" w:rsidDel="00000000" w:rsidP="00000000" w:rsidRDefault="00000000" w:rsidRPr="00000000" w14:paraId="00000002">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MEF ÜNİVERSİTESİ SATINALMA MÜDÜRLÜĞÜ</w:t>
      </w: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Yeni Güvenlik Duvarı (Fortigate 401f - “Fg-401f-Bdl-950-36”) Ve 3 Yıl Support Alımı ve Kurulumu 30597 sayılı Resmi Gazetede yayımlanan Vakıf Yükseköğretim Kurumları İhale Yönetmeliğini’nin 16. Maddesine göre Açık İhale Usulü ile ihale edilecektir.</w:t>
      </w:r>
    </w:p>
    <w:p w:rsidR="00000000" w:rsidDel="00000000" w:rsidP="00000000" w:rsidRDefault="00000000" w:rsidRPr="00000000" w14:paraId="00000004">
      <w:pPr>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rtl w:val="0"/>
        </w:rPr>
        <w:t xml:space="preserve">İhale Kayıt Numarası: </w:t>
      </w:r>
      <w:r w:rsidDel="00000000" w:rsidR="00000000" w:rsidRPr="00000000">
        <w:rPr>
          <w:rFonts w:ascii="Times New Roman" w:cs="Times New Roman" w:eastAsia="Times New Roman" w:hAnsi="Times New Roman"/>
          <w:b w:val="1"/>
          <w:sz w:val="24"/>
          <w:szCs w:val="24"/>
          <w:rtl w:val="0"/>
        </w:rPr>
        <w:t xml:space="preserve">2024/0288</w:t>
      </w:r>
      <w:r w:rsidDel="00000000" w:rsidR="00000000" w:rsidRPr="00000000">
        <w:rPr>
          <w:rtl w:val="0"/>
        </w:rPr>
      </w:r>
    </w:p>
    <w:p w:rsidR="00000000" w:rsidDel="00000000" w:rsidP="00000000" w:rsidRDefault="00000000" w:rsidRPr="00000000" w14:paraId="00000005">
      <w:pPr>
        <w:numPr>
          <w:ilvl w:val="0"/>
          <w:numId w:val="2"/>
        </w:numPr>
        <w:ind w:left="284" w:hanging="284"/>
        <w:rPr>
          <w:rFonts w:ascii="Times New Roman" w:cs="Times New Roman" w:eastAsia="Times New Roman" w:hAnsi="Times New Roman"/>
          <w:sz w:val="24"/>
          <w:szCs w:val="24"/>
        </w:rPr>
      </w:pPr>
      <w:r w:rsidDel="00000000" w:rsidR="00000000" w:rsidRPr="00000000">
        <w:rPr>
          <w:rtl w:val="0"/>
        </w:rPr>
        <w:t xml:space="preserve">     </w:t>
      </w:r>
      <w:r w:rsidDel="00000000" w:rsidR="00000000" w:rsidRPr="00000000">
        <w:rPr>
          <w:rFonts w:ascii="Times New Roman" w:cs="Times New Roman" w:eastAsia="Times New Roman" w:hAnsi="Times New Roman"/>
          <w:b w:val="1"/>
          <w:sz w:val="24"/>
          <w:szCs w:val="24"/>
          <w:rtl w:val="0"/>
        </w:rPr>
        <w:t xml:space="preserve"> İşveren’in</w:t>
      </w:r>
      <w:r w:rsidDel="00000000" w:rsidR="00000000" w:rsidRPr="00000000">
        <w:rPr>
          <w:rtl w:val="0"/>
        </w:rPr>
      </w:r>
    </w:p>
    <w:tbl>
      <w:tblPr>
        <w:tblStyle w:val="Table1"/>
        <w:tblW w:w="8789.0" w:type="dxa"/>
        <w:jc w:val="left"/>
        <w:tblLayout w:type="fixed"/>
        <w:tblLook w:val="0400"/>
      </w:tblPr>
      <w:tblGrid>
        <w:gridCol w:w="4407"/>
        <w:gridCol w:w="4382"/>
        <w:tblGridChange w:id="0">
          <w:tblGrid>
            <w:gridCol w:w="4407"/>
            <w:gridCol w:w="4382"/>
          </w:tblGrid>
        </w:tblGridChange>
      </w:tblGrid>
      <w:tr>
        <w:trPr>
          <w:cantSplit w:val="0"/>
          <w:tblHeader w:val="0"/>
        </w:trPr>
        <w:tc>
          <w:tcPr>
            <w:tcBorders>
              <w:top w:color="dee2e6" w:space="0" w:sz="6" w:val="single"/>
            </w:tcBorders>
            <w:shd w:fill="ffffff" w:val="clear"/>
          </w:tcPr>
          <w:p w:rsidR="00000000" w:rsidDel="00000000" w:rsidP="00000000" w:rsidRDefault="00000000" w:rsidRPr="00000000" w14:paraId="0000000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Adresi</w:t>
            </w:r>
          </w:p>
        </w:tc>
        <w:tc>
          <w:tcPr>
            <w:tcBorders>
              <w:top w:color="dee2e6" w:space="0" w:sz="6" w:val="single"/>
            </w:tcBorders>
            <w:shd w:fill="ffffff" w:val="clear"/>
          </w:tcPr>
          <w:p w:rsidR="00000000" w:rsidDel="00000000" w:rsidP="00000000" w:rsidRDefault="00000000" w:rsidRPr="00000000" w14:paraId="0000000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MEF Üniversitesi/Satınalma Müdürlüğü, Huzur Mah. Maslak Ayazağa Cad. No:4/1 34396 Maslak-Sarıyer/İstanbul</w:t>
            </w:r>
          </w:p>
        </w:tc>
      </w:tr>
      <w:tr>
        <w:trPr>
          <w:cantSplit w:val="0"/>
          <w:tblHeader w:val="0"/>
        </w:trPr>
        <w:tc>
          <w:tcPr>
            <w:tcBorders>
              <w:top w:color="dee2e6" w:space="0" w:sz="6" w:val="single"/>
            </w:tcBorders>
            <w:shd w:fill="ffffff" w:val="clear"/>
          </w:tcPr>
          <w:p w:rsidR="00000000" w:rsidDel="00000000" w:rsidP="00000000" w:rsidRDefault="00000000" w:rsidRPr="00000000" w14:paraId="0000000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 Telefon</w:t>
            </w:r>
          </w:p>
        </w:tc>
        <w:tc>
          <w:tcPr>
            <w:tcBorders>
              <w:top w:color="dee2e6" w:space="0" w:sz="6" w:val="single"/>
            </w:tcBorders>
            <w:shd w:fill="ffffff" w:val="clear"/>
          </w:tcPr>
          <w:p w:rsidR="00000000" w:rsidDel="00000000" w:rsidP="00000000" w:rsidRDefault="00000000" w:rsidRPr="00000000" w14:paraId="0000000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Tel:0212 395 37 18 – 0212 395 37 45 / Fax:0212 395 36 36</w:t>
            </w:r>
          </w:p>
        </w:tc>
      </w:tr>
      <w:tr>
        <w:trPr>
          <w:cantSplit w:val="0"/>
          <w:tblHeader w:val="0"/>
        </w:trPr>
        <w:tc>
          <w:tcPr>
            <w:tcBorders>
              <w:top w:color="dee2e6" w:space="0" w:sz="6" w:val="single"/>
            </w:tcBorders>
            <w:shd w:fill="ffffff" w:val="clear"/>
          </w:tcPr>
          <w:p w:rsidR="00000000" w:rsidDel="00000000" w:rsidP="00000000" w:rsidRDefault="00000000" w:rsidRPr="00000000" w14:paraId="0000000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Elektronik Posta Adresi</w:t>
            </w:r>
          </w:p>
        </w:tc>
        <w:tc>
          <w:tcPr>
            <w:tcBorders>
              <w:top w:color="dee2e6" w:space="0" w:sz="6" w:val="single"/>
            </w:tcBorders>
            <w:shd w:fill="ffffff" w:val="clear"/>
          </w:tcPr>
          <w:p w:rsidR="00000000" w:rsidDel="00000000" w:rsidP="00000000" w:rsidRDefault="00000000" w:rsidRPr="00000000" w14:paraId="0000000B">
            <w:pPr>
              <w:rPr>
                <w:rFonts w:ascii="Times New Roman" w:cs="Times New Roman" w:eastAsia="Times New Roman" w:hAnsi="Times New Roman"/>
                <w:sz w:val="24"/>
                <w:szCs w:val="24"/>
              </w:rPr>
            </w:pPr>
            <w:bookmarkStart w:colFirst="0" w:colLast="0" w:name="_heading=h.gjdgxs" w:id="0"/>
            <w:bookmarkEnd w:id="0"/>
            <w:r w:rsidDel="00000000" w:rsidR="00000000" w:rsidRPr="00000000">
              <w:rPr>
                <w:rFonts w:ascii="Times New Roman" w:cs="Times New Roman" w:eastAsia="Times New Roman" w:hAnsi="Times New Roman"/>
                <w:sz w:val="24"/>
                <w:szCs w:val="24"/>
                <w:rtl w:val="0"/>
              </w:rPr>
              <w:t xml:space="preserve">: </w:t>
            </w:r>
            <w:hyperlink r:id="rId7">
              <w:r w:rsidDel="00000000" w:rsidR="00000000" w:rsidRPr="00000000">
                <w:rPr>
                  <w:rFonts w:ascii="Times New Roman" w:cs="Times New Roman" w:eastAsia="Times New Roman" w:hAnsi="Times New Roman"/>
                  <w:color w:val="0563c1"/>
                  <w:sz w:val="24"/>
                  <w:szCs w:val="24"/>
                  <w:u w:val="single"/>
                  <w:rtl w:val="0"/>
                </w:rPr>
                <w:t xml:space="preserve">dogangonulg@mef.edu.tr</w:t>
              </w:r>
            </w:hyperlink>
            <w:r w:rsidDel="00000000" w:rsidR="00000000" w:rsidRPr="00000000">
              <w:rPr>
                <w:rFonts w:ascii="Times New Roman" w:cs="Times New Roman" w:eastAsia="Times New Roman" w:hAnsi="Times New Roman"/>
                <w:color w:val="0563c1"/>
                <w:sz w:val="24"/>
                <w:szCs w:val="24"/>
                <w:u w:val="single"/>
                <w:rtl w:val="0"/>
              </w:rPr>
              <w:t xml:space="preserve">; arslanyant@mef.edu.tr</w:t>
            </w:r>
            <w:r w:rsidDel="00000000" w:rsidR="00000000" w:rsidRPr="00000000">
              <w:rPr>
                <w:rtl w:val="0"/>
              </w:rPr>
            </w:r>
          </w:p>
        </w:tc>
      </w:tr>
      <w:tr>
        <w:trPr>
          <w:cantSplit w:val="0"/>
          <w:tblHeader w:val="0"/>
        </w:trPr>
        <w:tc>
          <w:tcPr>
            <w:tcBorders>
              <w:top w:color="dee2e6" w:space="0" w:sz="6" w:val="single"/>
            </w:tcBorders>
            <w:shd w:fill="ffffff" w:val="clear"/>
          </w:tcPr>
          <w:p w:rsidR="00000000" w:rsidDel="00000000" w:rsidP="00000000" w:rsidRDefault="00000000" w:rsidRPr="00000000" w14:paraId="0000000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ç) İhale Dokümanının görülebileceği internet adresi</w:t>
            </w:r>
          </w:p>
        </w:tc>
        <w:tc>
          <w:tcPr>
            <w:tcBorders>
              <w:top w:color="dee2e6" w:space="0" w:sz="6" w:val="single"/>
            </w:tcBorders>
            <w:shd w:fill="ffffff" w:val="clear"/>
          </w:tcPr>
          <w:p w:rsidR="00000000" w:rsidDel="00000000" w:rsidP="00000000" w:rsidRDefault="00000000" w:rsidRPr="00000000" w14:paraId="0000000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hyperlink r:id="rId8">
              <w:r w:rsidDel="00000000" w:rsidR="00000000" w:rsidRPr="00000000">
                <w:rPr>
                  <w:rFonts w:ascii="Times New Roman" w:cs="Times New Roman" w:eastAsia="Times New Roman" w:hAnsi="Times New Roman"/>
                  <w:color w:val="0563c1"/>
                  <w:sz w:val="24"/>
                  <w:szCs w:val="24"/>
                  <w:u w:val="single"/>
                  <w:rtl w:val="0"/>
                </w:rPr>
                <w:t xml:space="preserve">www.mef.edu.tr</w:t>
              </w:r>
            </w:hyperlink>
            <w:r w:rsidDel="00000000" w:rsidR="00000000" w:rsidRPr="00000000">
              <w:rPr>
                <w:rtl w:val="0"/>
              </w:rPr>
            </w:r>
          </w:p>
        </w:tc>
      </w:tr>
    </w:tbl>
    <w:p w:rsidR="00000000" w:rsidDel="00000000" w:rsidP="00000000" w:rsidRDefault="00000000" w:rsidRPr="00000000" w14:paraId="0000000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F">
      <w:pPr>
        <w:numPr>
          <w:ilvl w:val="0"/>
          <w:numId w:val="2"/>
        </w:numPr>
        <w:pBdr>
          <w:top w:space="0" w:sz="0" w:val="nil"/>
          <w:left w:space="0" w:sz="0" w:val="nil"/>
          <w:bottom w:space="0" w:sz="0" w:val="nil"/>
          <w:right w:space="0" w:sz="0" w:val="nil"/>
          <w:between w:space="0" w:sz="0" w:val="nil"/>
        </w:pBdr>
        <w:ind w:left="284" w:hanging="284"/>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İhalenin Konusu Mal/ Hizmet/ Yapım İşi’nin</w:t>
      </w:r>
      <w:r w:rsidDel="00000000" w:rsidR="00000000" w:rsidRPr="00000000">
        <w:rPr>
          <w:rtl w:val="0"/>
        </w:rPr>
      </w:r>
    </w:p>
    <w:tbl>
      <w:tblPr>
        <w:tblStyle w:val="Table2"/>
        <w:tblW w:w="9072.0" w:type="dxa"/>
        <w:jc w:val="left"/>
        <w:tblLayout w:type="fixed"/>
        <w:tblLook w:val="0400"/>
      </w:tblPr>
      <w:tblGrid>
        <w:gridCol w:w="2356"/>
        <w:gridCol w:w="6716"/>
        <w:tblGridChange w:id="0">
          <w:tblGrid>
            <w:gridCol w:w="2356"/>
            <w:gridCol w:w="6716"/>
          </w:tblGrid>
        </w:tblGridChange>
      </w:tblGrid>
      <w:tr>
        <w:trPr>
          <w:cantSplit w:val="0"/>
          <w:tblHeader w:val="0"/>
        </w:trPr>
        <w:tc>
          <w:tcPr>
            <w:tcBorders>
              <w:top w:color="dee2e6" w:space="0" w:sz="6" w:val="single"/>
            </w:tcBorders>
            <w:shd w:fill="ffffff" w:val="clear"/>
          </w:tcPr>
          <w:p w:rsidR="00000000" w:rsidDel="00000000" w:rsidP="00000000" w:rsidRDefault="00000000" w:rsidRPr="00000000" w14:paraId="0000001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Niteliği, türü ve miktarı</w:t>
            </w:r>
          </w:p>
        </w:tc>
        <w:tc>
          <w:tcPr>
            <w:tcBorders>
              <w:top w:color="dee2e6" w:space="0" w:sz="6" w:val="single"/>
            </w:tcBorders>
            <w:shd w:fill="ffffff" w:val="clear"/>
          </w:tcPr>
          <w:p w:rsidR="00000000" w:rsidDel="00000000" w:rsidP="00000000" w:rsidRDefault="00000000" w:rsidRPr="00000000" w14:paraId="0000001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t xml:space="preserve"> </w:t>
            </w:r>
            <w:r w:rsidDel="00000000" w:rsidR="00000000" w:rsidRPr="00000000">
              <w:rPr>
                <w:rFonts w:ascii="Times New Roman" w:cs="Times New Roman" w:eastAsia="Times New Roman" w:hAnsi="Times New Roman"/>
                <w:sz w:val="24"/>
                <w:szCs w:val="24"/>
                <w:rtl w:val="0"/>
              </w:rPr>
              <w:t xml:space="preserve">Yeni Güvenlik Duvarı (Fortigate 401f - “Fg-401f-Bdl-950-36”) Ve 3 Yıl Support Alımı ve Kurulumu, ayrıntılı bilgiler web sitemizde yayınlanan Teknik Şartname ve İdari Şartnamede bulunmaktadır.</w:t>
            </w:r>
          </w:p>
        </w:tc>
      </w:tr>
      <w:tr>
        <w:trPr>
          <w:cantSplit w:val="0"/>
          <w:tblHeader w:val="0"/>
        </w:trPr>
        <w:tc>
          <w:tcPr>
            <w:tcBorders>
              <w:top w:color="dee2e6" w:space="0" w:sz="6" w:val="single"/>
            </w:tcBorders>
            <w:shd w:fill="ffffff" w:val="clear"/>
          </w:tcPr>
          <w:p w:rsidR="00000000" w:rsidDel="00000000" w:rsidP="00000000" w:rsidRDefault="00000000" w:rsidRPr="00000000" w14:paraId="0000001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 Yapılacağı Yer</w:t>
            </w:r>
          </w:p>
        </w:tc>
        <w:tc>
          <w:tcPr>
            <w:tcBorders>
              <w:top w:color="dee2e6" w:space="0" w:sz="6" w:val="single"/>
            </w:tcBorders>
            <w:shd w:fill="ffffff" w:val="clear"/>
          </w:tcPr>
          <w:p w:rsidR="00000000" w:rsidDel="00000000" w:rsidP="00000000" w:rsidRDefault="00000000" w:rsidRPr="00000000" w14:paraId="0000001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MEF Üniversitesi</w:t>
            </w:r>
          </w:p>
        </w:tc>
      </w:tr>
      <w:tr>
        <w:trPr>
          <w:cantSplit w:val="0"/>
          <w:tblHeader w:val="0"/>
        </w:trPr>
        <w:tc>
          <w:tcPr>
            <w:tcBorders>
              <w:top w:color="dee2e6" w:space="0" w:sz="6" w:val="single"/>
            </w:tcBorders>
            <w:shd w:fill="ffffff" w:val="clear"/>
          </w:tcPr>
          <w:p w:rsidR="00000000" w:rsidDel="00000000" w:rsidP="00000000" w:rsidRDefault="00000000" w:rsidRPr="00000000" w14:paraId="0000001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Süresi</w:t>
            </w:r>
          </w:p>
        </w:tc>
        <w:tc>
          <w:tcPr>
            <w:tcBorders>
              <w:top w:color="dee2e6" w:space="0" w:sz="6" w:val="single"/>
            </w:tcBorders>
            <w:shd w:fill="ffffff" w:val="clear"/>
          </w:tcPr>
          <w:p w:rsidR="00000000" w:rsidDel="00000000" w:rsidP="00000000" w:rsidRDefault="00000000" w:rsidRPr="00000000" w14:paraId="0000001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İşe başlama tarihinden itibaren 36 ay'dır.</w:t>
            </w:r>
          </w:p>
        </w:tc>
      </w:tr>
    </w:tbl>
    <w:p w:rsidR="00000000" w:rsidDel="00000000" w:rsidP="00000000" w:rsidRDefault="00000000" w:rsidRPr="00000000" w14:paraId="0000001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7">
      <w:pPr>
        <w:numPr>
          <w:ilvl w:val="0"/>
          <w:numId w:val="2"/>
        </w:numPr>
        <w:pBdr>
          <w:top w:space="0" w:sz="0" w:val="nil"/>
          <w:left w:space="0" w:sz="0" w:val="nil"/>
          <w:bottom w:space="0" w:sz="0" w:val="nil"/>
          <w:right w:space="0" w:sz="0" w:val="nil"/>
          <w:between w:space="0" w:sz="0" w:val="nil"/>
        </w:pBdr>
        <w:ind w:left="284" w:hanging="284"/>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İhalenin</w:t>
      </w:r>
      <w:r w:rsidDel="00000000" w:rsidR="00000000" w:rsidRPr="00000000">
        <w:rPr>
          <w:rtl w:val="0"/>
        </w:rPr>
      </w:r>
    </w:p>
    <w:tbl>
      <w:tblPr>
        <w:tblStyle w:val="Table3"/>
        <w:tblW w:w="9072.0" w:type="dxa"/>
        <w:jc w:val="left"/>
        <w:tblLayout w:type="fixed"/>
        <w:tblLook w:val="0400"/>
      </w:tblPr>
      <w:tblGrid>
        <w:gridCol w:w="2557"/>
        <w:gridCol w:w="6515"/>
        <w:tblGridChange w:id="0">
          <w:tblGrid>
            <w:gridCol w:w="2557"/>
            <w:gridCol w:w="6515"/>
          </w:tblGrid>
        </w:tblGridChange>
      </w:tblGrid>
      <w:tr>
        <w:trPr>
          <w:cantSplit w:val="0"/>
          <w:tblHeader w:val="0"/>
        </w:trPr>
        <w:tc>
          <w:tcPr>
            <w:tcBorders>
              <w:top w:color="dee2e6" w:space="0" w:sz="6" w:val="single"/>
            </w:tcBorders>
            <w:shd w:fill="ffffff" w:val="clear"/>
          </w:tcPr>
          <w:p w:rsidR="00000000" w:rsidDel="00000000" w:rsidP="00000000" w:rsidRDefault="00000000" w:rsidRPr="00000000" w14:paraId="0000001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Yapılacağı Yer</w:t>
            </w:r>
          </w:p>
        </w:tc>
        <w:tc>
          <w:tcPr>
            <w:tcBorders>
              <w:top w:color="dee2e6" w:space="0" w:sz="6" w:val="single"/>
            </w:tcBorders>
            <w:shd w:fill="ffffff" w:val="clear"/>
          </w:tcPr>
          <w:p w:rsidR="00000000" w:rsidDel="00000000" w:rsidP="00000000" w:rsidRDefault="00000000" w:rsidRPr="00000000" w14:paraId="0000001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MEF Üniversitesi, Huzur Mah. Maslak Ayazağa Cad. No:4 34396 Maslak-Sarıyer/İstanbul</w:t>
            </w:r>
          </w:p>
        </w:tc>
      </w:tr>
      <w:tr>
        <w:trPr>
          <w:cantSplit w:val="0"/>
          <w:tblHeader w:val="0"/>
        </w:trPr>
        <w:tc>
          <w:tcPr>
            <w:tcBorders>
              <w:top w:color="dee2e6" w:space="0" w:sz="6" w:val="single"/>
            </w:tcBorders>
            <w:shd w:fill="ffffff" w:val="clear"/>
          </w:tcPr>
          <w:p w:rsidR="00000000" w:rsidDel="00000000" w:rsidP="00000000" w:rsidRDefault="00000000" w:rsidRPr="00000000" w14:paraId="0000001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 Tarihi ve saati</w:t>
            </w:r>
          </w:p>
        </w:tc>
        <w:tc>
          <w:tcPr>
            <w:tcBorders>
              <w:top w:color="dee2e6" w:space="0" w:sz="6" w:val="single"/>
            </w:tcBorders>
            <w:shd w:fill="ffffff" w:val="clear"/>
          </w:tcPr>
          <w:p w:rsidR="00000000" w:rsidDel="00000000" w:rsidP="00000000" w:rsidRDefault="00000000" w:rsidRPr="00000000" w14:paraId="0000001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09.08.2024 - Saat:10:00</w:t>
            </w:r>
            <w:r w:rsidDel="00000000" w:rsidR="00000000" w:rsidRPr="00000000">
              <w:rPr>
                <w:rtl w:val="0"/>
              </w:rPr>
            </w:r>
          </w:p>
        </w:tc>
      </w:tr>
    </w:tbl>
    <w:p w:rsidR="00000000" w:rsidDel="00000000" w:rsidP="00000000" w:rsidRDefault="00000000" w:rsidRPr="00000000" w14:paraId="0000001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D">
      <w:pPr>
        <w:numPr>
          <w:ilvl w:val="0"/>
          <w:numId w:val="2"/>
        </w:numPr>
        <w:pBdr>
          <w:top w:space="0" w:sz="0" w:val="nil"/>
          <w:left w:space="0" w:sz="0" w:val="nil"/>
          <w:bottom w:space="0" w:sz="0" w:val="nil"/>
          <w:right w:space="0" w:sz="0" w:val="nil"/>
          <w:between w:space="0" w:sz="0" w:val="nil"/>
        </w:pBdr>
        <w:spacing w:after="0" w:lineRule="auto"/>
        <w:ind w:left="284" w:hanging="284"/>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İhaleye Katılabilme Şartları ve İstenilen Belgeler ile Yeterlilik Değerlendirmesinde Uygulanacak Kriterler:</w:t>
      </w: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lineRule="auto"/>
        <w:ind w:left="720" w:firstLine="0"/>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leader="none" w:pos="709"/>
        </w:tabs>
        <w:ind w:left="851" w:hanging="851"/>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İhaleye katılma şartları ve istenilen belgeler: </w:t>
      </w: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4.1.2.</w:t>
      </w:r>
      <w:r w:rsidDel="00000000" w:rsidR="00000000" w:rsidRPr="00000000">
        <w:rPr>
          <w:rFonts w:ascii="Times New Roman" w:cs="Times New Roman" w:eastAsia="Times New Roman" w:hAnsi="Times New Roman"/>
          <w:sz w:val="24"/>
          <w:szCs w:val="24"/>
          <w:rtl w:val="0"/>
        </w:rPr>
        <w:t xml:space="preserve"> </w:t>
        <w:tab/>
        <w:t xml:space="preserve">Teklif vermeye yetkili olduğunu gösteren İmza Beyannamesi veya İmza Sirküleri: </w:t>
      </w:r>
    </w:p>
    <w:p w:rsidR="00000000" w:rsidDel="00000000" w:rsidP="00000000" w:rsidRDefault="00000000" w:rsidRPr="00000000" w14:paraId="0000002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4.1.2.1.</w:t>
      </w:r>
      <w:r w:rsidDel="00000000" w:rsidR="00000000" w:rsidRPr="00000000">
        <w:rPr>
          <w:rFonts w:ascii="Times New Roman" w:cs="Times New Roman" w:eastAsia="Times New Roman" w:hAnsi="Times New Roman"/>
          <w:sz w:val="24"/>
          <w:szCs w:val="24"/>
          <w:rtl w:val="0"/>
        </w:rPr>
        <w:t xml:space="preserve"> Tüzel kişi olması halinde, ilgisine göre tüzel kişiliğinin ortakları, üyeleri veya kurucuları ile tüzel kişiliğin yönetimdeki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 </w:t>
      </w:r>
    </w:p>
    <w:p w:rsidR="00000000" w:rsidDel="00000000" w:rsidP="00000000" w:rsidRDefault="00000000" w:rsidRPr="00000000" w14:paraId="0000002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4.1.3.</w:t>
      </w:r>
      <w:r w:rsidDel="00000000" w:rsidR="00000000" w:rsidRPr="00000000">
        <w:rPr>
          <w:rFonts w:ascii="Times New Roman" w:cs="Times New Roman" w:eastAsia="Times New Roman" w:hAnsi="Times New Roman"/>
          <w:sz w:val="24"/>
          <w:szCs w:val="24"/>
          <w:rtl w:val="0"/>
        </w:rPr>
        <w:t xml:space="preserve"> Şekli ve içeriği İdari Şartnamede belirlenen teklif mektubu ve teklif cetveli.</w:t>
      </w:r>
    </w:p>
    <w:p w:rsidR="00000000" w:rsidDel="00000000" w:rsidP="00000000" w:rsidRDefault="00000000" w:rsidRPr="00000000" w14:paraId="0000002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4.1.4.</w:t>
      </w:r>
      <w:r w:rsidDel="00000000" w:rsidR="00000000" w:rsidRPr="00000000">
        <w:rPr>
          <w:rFonts w:ascii="Times New Roman" w:cs="Times New Roman" w:eastAsia="Times New Roman" w:hAnsi="Times New Roman"/>
          <w:sz w:val="24"/>
          <w:szCs w:val="24"/>
          <w:rtl w:val="0"/>
        </w:rPr>
        <w:t xml:space="preserve"> Şekli ve içeriği İdari Şartnamede belirlenen geçici teminat. </w:t>
      </w:r>
    </w:p>
    <w:p w:rsidR="00000000" w:rsidDel="00000000" w:rsidP="00000000" w:rsidRDefault="00000000" w:rsidRPr="00000000" w14:paraId="0000002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4.1.5.</w:t>
      </w:r>
      <w:r w:rsidDel="00000000" w:rsidR="00000000" w:rsidRPr="00000000">
        <w:rPr>
          <w:rFonts w:ascii="Times New Roman" w:cs="Times New Roman" w:eastAsia="Times New Roman" w:hAnsi="Times New Roman"/>
          <w:sz w:val="24"/>
          <w:szCs w:val="24"/>
          <w:rtl w:val="0"/>
        </w:rPr>
        <w:t xml:space="preserve"> İhale konusu işin tamamı veya bir kısmı alt yüklenicilere yaptırılamaz. </w:t>
      </w:r>
    </w:p>
    <w:p w:rsidR="00000000" w:rsidDel="00000000" w:rsidP="00000000" w:rsidRDefault="00000000" w:rsidRPr="00000000" w14:paraId="0000002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4.2. Ekonomik ve mali yeterliğe ilişkin belgeler ve bu belgelerin taşıması gereken kriterler:</w:t>
      </w: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4"/>
          <w:szCs w:val="24"/>
        </w:rPr>
      </w:pPr>
      <w:r w:rsidDel="00000000" w:rsidR="00000000" w:rsidRPr="00000000">
        <w:rPr>
          <w:rtl w:val="0"/>
        </w:rPr>
        <w:t xml:space="preserve">     </w:t>
      </w:r>
      <w:r w:rsidDel="00000000" w:rsidR="00000000" w:rsidRPr="00000000">
        <w:rPr>
          <w:rFonts w:ascii="Times New Roman" w:cs="Times New Roman" w:eastAsia="Times New Roman" w:hAnsi="Times New Roman"/>
          <w:sz w:val="24"/>
          <w:szCs w:val="24"/>
          <w:rtl w:val="0"/>
        </w:rPr>
        <w:t xml:space="preserve">İşveren tarafından talep edilen ekonomik ve mali yeterliğe ilişkin belgelere idari şartnamede yer verilmiştir.</w:t>
      </w:r>
    </w:p>
    <w:p w:rsidR="00000000" w:rsidDel="00000000" w:rsidP="00000000" w:rsidRDefault="00000000" w:rsidRPr="00000000" w14:paraId="0000002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4.3.  Mesleki ve Teknik yeterliğe ilişkin belgeler ve bu belgelerin taşıması gereken kriterler:</w:t>
      </w: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sz w:val="24"/>
          <w:szCs w:val="24"/>
        </w:rPr>
      </w:pPr>
      <w:r w:rsidDel="00000000" w:rsidR="00000000" w:rsidRPr="00000000">
        <w:rPr>
          <w:rtl w:val="0"/>
        </w:rPr>
        <w:t xml:space="preserve">     </w:t>
      </w:r>
      <w:r w:rsidDel="00000000" w:rsidR="00000000" w:rsidRPr="00000000">
        <w:rPr>
          <w:rFonts w:ascii="Times New Roman" w:cs="Times New Roman" w:eastAsia="Times New Roman" w:hAnsi="Times New Roman"/>
          <w:sz w:val="24"/>
          <w:szCs w:val="24"/>
          <w:rtl w:val="0"/>
        </w:rPr>
        <w:t xml:space="preserve"> İşveren tarafından Mesleki ve Teknik yeterliğe ilişkin kriterler idari şartnamede belirtilmiştir.</w:t>
      </w:r>
    </w:p>
    <w:p w:rsidR="00000000" w:rsidDel="00000000" w:rsidP="00000000" w:rsidRDefault="00000000" w:rsidRPr="00000000" w14:paraId="0000002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5.</w:t>
      </w:r>
      <w:r w:rsidDel="00000000" w:rsidR="00000000" w:rsidRPr="00000000">
        <w:rPr>
          <w:rFonts w:ascii="Times New Roman" w:cs="Times New Roman" w:eastAsia="Times New Roman" w:hAnsi="Times New Roman"/>
          <w:sz w:val="24"/>
          <w:szCs w:val="24"/>
          <w:rtl w:val="0"/>
        </w:rPr>
        <w:t xml:space="preserve"> Ekonomik açıdan en uygun teklif fiyat esasına göre belirlenecektir. </w:t>
      </w:r>
    </w:p>
    <w:p w:rsidR="00000000" w:rsidDel="00000000" w:rsidP="00000000" w:rsidRDefault="00000000" w:rsidRPr="00000000" w14:paraId="0000002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6. </w:t>
      </w:r>
      <w:r w:rsidDel="00000000" w:rsidR="00000000" w:rsidRPr="00000000">
        <w:rPr>
          <w:rFonts w:ascii="Times New Roman" w:cs="Times New Roman" w:eastAsia="Times New Roman" w:hAnsi="Times New Roman"/>
          <w:sz w:val="24"/>
          <w:szCs w:val="24"/>
          <w:rtl w:val="0"/>
        </w:rPr>
        <w:t xml:space="preserve">İhaleye sadece yerli istekliler katılabilecektir. </w:t>
      </w:r>
    </w:p>
    <w:p w:rsidR="00000000" w:rsidDel="00000000" w:rsidP="00000000" w:rsidRDefault="00000000" w:rsidRPr="00000000" w14:paraId="0000002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7.</w:t>
      </w:r>
      <w:r w:rsidDel="00000000" w:rsidR="00000000" w:rsidRPr="00000000">
        <w:rPr>
          <w:rFonts w:ascii="Times New Roman" w:cs="Times New Roman" w:eastAsia="Times New Roman" w:hAnsi="Times New Roman"/>
          <w:sz w:val="24"/>
          <w:szCs w:val="24"/>
          <w:rtl w:val="0"/>
        </w:rPr>
        <w:t xml:space="preserve"> İhale dokümanının görülmesi ve satın alınması: </w:t>
      </w:r>
    </w:p>
    <w:p w:rsidR="00000000" w:rsidDel="00000000" w:rsidP="00000000" w:rsidRDefault="00000000" w:rsidRPr="00000000" w14:paraId="0000002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7.1.</w:t>
      </w:r>
      <w:r w:rsidDel="00000000" w:rsidR="00000000" w:rsidRPr="00000000">
        <w:rPr>
          <w:rFonts w:ascii="Times New Roman" w:cs="Times New Roman" w:eastAsia="Times New Roman" w:hAnsi="Times New Roman"/>
          <w:sz w:val="24"/>
          <w:szCs w:val="24"/>
          <w:rtl w:val="0"/>
        </w:rPr>
        <w:t xml:space="preserve"> İhale dokümanı, işverenin adresinde görülebilir</w:t>
      </w:r>
      <w:r w:rsidDel="00000000" w:rsidR="00000000" w:rsidRPr="00000000">
        <w:rPr>
          <w:rFonts w:ascii="Times New Roman" w:cs="Times New Roman" w:eastAsia="Times New Roman" w:hAnsi="Times New Roman"/>
          <w:sz w:val="24"/>
          <w:szCs w:val="24"/>
          <w:highlight w:val="white"/>
          <w:rtl w:val="0"/>
        </w:rPr>
        <w:t xml:space="preserve"> ve 1.500 TL </w:t>
      </w:r>
      <w:r w:rsidDel="00000000" w:rsidR="00000000" w:rsidRPr="00000000">
        <w:rPr>
          <w:rFonts w:ascii="Times New Roman" w:cs="Times New Roman" w:eastAsia="Times New Roman" w:hAnsi="Times New Roman"/>
          <w:sz w:val="24"/>
          <w:szCs w:val="24"/>
          <w:rtl w:val="0"/>
        </w:rPr>
        <w:t xml:space="preserve">(BinbeşyüzTürkLirası)  karşılığı, ödeme dekontu getirilerek “MEF Üniversitesi Huzur Mah. Maslak Ayazağa Cad. No:4/1 34396 Maslak-Sarıyer/İstanbul  Satınalma Müdürlüğünden” temin edilebilir. Katılımcılar Yapı ve Kredi Bankası 688-Maslak Şubesi İban No: TR78 0006 7010 0000 0051 7438 29 No’lu hesaba sadece banka gişelerinden firma İsmi ve ödemeye ilişkin ihale konusu (Güvenlik İhalesi doküman bedeli) yazılarak ödeme yapılmalıdır. İhale dokümanlarının satın alınması zorunludur.</w:t>
      </w:r>
    </w:p>
    <w:p w:rsidR="00000000" w:rsidDel="00000000" w:rsidP="00000000" w:rsidRDefault="00000000" w:rsidRPr="00000000" w14:paraId="0000002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8.</w:t>
      </w:r>
      <w:r w:rsidDel="00000000" w:rsidR="00000000" w:rsidRPr="00000000">
        <w:rPr>
          <w:rFonts w:ascii="Times New Roman" w:cs="Times New Roman" w:eastAsia="Times New Roman" w:hAnsi="Times New Roman"/>
          <w:sz w:val="24"/>
          <w:szCs w:val="24"/>
          <w:rtl w:val="0"/>
        </w:rPr>
        <w:t xml:space="preserve"> Teklifler, ihale tarih ve saatine kadar MEF Üniversitesi Huzur Mah. Maslak Ayazağa Cad. No:4/1 34396 Maslak-Sarıyer/İstanbul  Satınalma Müdürlüğü’</w:t>
      </w:r>
      <w:r w:rsidDel="00000000" w:rsidR="00000000" w:rsidRPr="00000000">
        <w:rPr>
          <w:rtl w:val="0"/>
        </w:rPr>
        <w:t xml:space="preserve">     </w:t>
      </w:r>
      <w:r w:rsidDel="00000000" w:rsidR="00000000" w:rsidRPr="00000000">
        <w:rPr>
          <w:rFonts w:ascii="Times New Roman" w:cs="Times New Roman" w:eastAsia="Times New Roman" w:hAnsi="Times New Roman"/>
          <w:sz w:val="24"/>
          <w:szCs w:val="24"/>
          <w:rtl w:val="0"/>
        </w:rPr>
        <w:t xml:space="preserve"> adresine elden teslim edilebileceği gibi, aynı adrese iadeli taahhütlü posta vasıtasıyla da gönderilebilir. Posta ile yapılan başvuruların son başvuru tarihine ve saatine kadar üniversitemize ulaşmış olması gerekmektedir. İhale zarfı  kapalı olmalı ve kapatma yerinde kaşe-imza mutlaka bulunmalıdır.</w:t>
      </w:r>
    </w:p>
    <w:p w:rsidR="00000000" w:rsidDel="00000000" w:rsidP="00000000" w:rsidRDefault="00000000" w:rsidRPr="00000000" w14:paraId="0000002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9.</w:t>
      </w:r>
      <w:r w:rsidDel="00000000" w:rsidR="00000000" w:rsidRPr="00000000">
        <w:rPr>
          <w:rFonts w:ascii="Times New Roman" w:cs="Times New Roman" w:eastAsia="Times New Roman" w:hAnsi="Times New Roman"/>
          <w:sz w:val="24"/>
          <w:szCs w:val="24"/>
          <w:rtl w:val="0"/>
        </w:rPr>
        <w:t xml:space="preserve"> İstekliler tekliflerini, birim fiyatlar üzerinden vereceklerdir. İhale sonucu üzerine ihale yapılan istekliyle, her bir iş kaleminin miktarı ile bu kalemler için teklif edilen birim fiyatların çarpımı sonucu bulunan toplam bedel üzerinden sözleşme imzalanacaktır.</w:t>
        <w:br w:type="textWrapping"/>
        <w:t xml:space="preserve">Bu ihalede, işin tamamı için teklif verilecektir.  </w:t>
      </w:r>
    </w:p>
    <w:p w:rsidR="00000000" w:rsidDel="00000000" w:rsidP="00000000" w:rsidRDefault="00000000" w:rsidRPr="00000000" w14:paraId="0000002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10.</w:t>
      </w:r>
      <w:r w:rsidDel="00000000" w:rsidR="00000000" w:rsidRPr="00000000">
        <w:rPr>
          <w:rFonts w:ascii="Times New Roman" w:cs="Times New Roman" w:eastAsia="Times New Roman" w:hAnsi="Times New Roman"/>
          <w:sz w:val="24"/>
          <w:szCs w:val="24"/>
          <w:rtl w:val="0"/>
        </w:rPr>
        <w:t xml:space="preserve"> İstekliler, teklif ettikleri 36 aylık bedelin %5’ inden az olmamak üzere kendi belirleyecekleri tutarda 3 ay süreli geçici teminat vereceklerdir. Teklif edilen bedelin %5’ inden az oranda geçici teminat veren isteklilerin teklifleri değerlendirme dışı bırakılır.</w:t>
      </w:r>
    </w:p>
    <w:p w:rsidR="00000000" w:rsidDel="00000000" w:rsidP="00000000" w:rsidRDefault="00000000" w:rsidRPr="00000000" w14:paraId="0000003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11.</w:t>
      </w:r>
      <w:r w:rsidDel="00000000" w:rsidR="00000000" w:rsidRPr="00000000">
        <w:rPr>
          <w:rFonts w:ascii="Times New Roman" w:cs="Times New Roman" w:eastAsia="Times New Roman" w:hAnsi="Times New Roman"/>
          <w:sz w:val="24"/>
          <w:szCs w:val="24"/>
          <w:rtl w:val="0"/>
        </w:rPr>
        <w:t xml:space="preserve"> Verilen tekliflerin geçerlilik süresi, ihale tarihinden itibaren 60 (altmış) takvim günüdür. </w:t>
      </w:r>
    </w:p>
    <w:p w:rsidR="00000000" w:rsidDel="00000000" w:rsidP="00000000" w:rsidRDefault="00000000" w:rsidRPr="00000000" w14:paraId="0000003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12.</w:t>
      </w:r>
      <w:r w:rsidDel="00000000" w:rsidR="00000000" w:rsidRPr="00000000">
        <w:rPr>
          <w:rFonts w:ascii="Times New Roman" w:cs="Times New Roman" w:eastAsia="Times New Roman" w:hAnsi="Times New Roman"/>
          <w:sz w:val="24"/>
          <w:szCs w:val="24"/>
          <w:rtl w:val="0"/>
        </w:rPr>
        <w:t xml:space="preserve"> Konsorsiyum, iş ortaklıkları ve adi şirket ortaklığı olarak ihaleye teklif verilemez. </w:t>
      </w:r>
    </w:p>
    <w:p w:rsidR="00000000" w:rsidDel="00000000" w:rsidP="00000000" w:rsidRDefault="00000000" w:rsidRPr="00000000" w14:paraId="0000003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13.</w:t>
      </w:r>
      <w:r w:rsidDel="00000000" w:rsidR="00000000" w:rsidRPr="00000000">
        <w:rPr>
          <w:rFonts w:ascii="Times New Roman" w:cs="Times New Roman" w:eastAsia="Times New Roman" w:hAnsi="Times New Roman"/>
          <w:sz w:val="24"/>
          <w:szCs w:val="24"/>
          <w:rtl w:val="0"/>
        </w:rPr>
        <w:t xml:space="preserve"> İsteklilerin sözleşmenin uygulanması sırasında ilgili mevzuat gereğince ödeyeceği her türlü vergi, resim, harç ve benzeri giderler ile ulaşım ve her türlü sigorta giderleri teklif verene aittir.</w:t>
      </w:r>
    </w:p>
    <w:p w:rsidR="00000000" w:rsidDel="00000000" w:rsidP="00000000" w:rsidRDefault="00000000" w:rsidRPr="00000000" w14:paraId="0000003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14. Diğer Hususlar:</w:t>
      </w: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İhale Yönetmeliği’nin 22. Maddesine göre öngörülen açıklama istenmeksizin ekonomik açıdan en uygun bedel üzerinde bırakılacaktır.</w:t>
      </w:r>
    </w:p>
    <w:p w:rsidR="00000000" w:rsidDel="00000000" w:rsidP="00000000" w:rsidRDefault="00000000" w:rsidRPr="00000000" w14:paraId="00000035">
      <w:pPr>
        <w:rPr/>
      </w:pPr>
      <w:r w:rsidDel="00000000" w:rsidR="00000000" w:rsidRPr="00000000">
        <w:rPr>
          <w:rtl w:val="0"/>
        </w:rPr>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4"/>
      <w:numFmt w:val="decimal"/>
      <w:lvlText w:val="%1."/>
      <w:lvlJc w:val="left"/>
      <w:pPr>
        <w:ind w:left="360" w:hanging="360"/>
      </w:pPr>
      <w:rPr>
        <w:b w:val="1"/>
      </w:rPr>
    </w:lvl>
    <w:lvl w:ilvl="1">
      <w:start w:val="1"/>
      <w:numFmt w:val="decimal"/>
      <w:lvlText w:val="%1.%2."/>
      <w:lvlJc w:val="left"/>
      <w:pPr>
        <w:ind w:left="1800" w:hanging="360"/>
      </w:pPr>
      <w:rPr>
        <w:b w:val="1"/>
      </w:rPr>
    </w:lvl>
    <w:lvl w:ilvl="2">
      <w:start w:val="1"/>
      <w:numFmt w:val="decimal"/>
      <w:lvlText w:val="%1.%2.%3."/>
      <w:lvlJc w:val="left"/>
      <w:pPr>
        <w:ind w:left="3600" w:hanging="720"/>
      </w:pPr>
      <w:rPr>
        <w:b w:val="1"/>
      </w:rPr>
    </w:lvl>
    <w:lvl w:ilvl="3">
      <w:start w:val="1"/>
      <w:numFmt w:val="decimal"/>
      <w:lvlText w:val="%1.%2.%3.%4."/>
      <w:lvlJc w:val="left"/>
      <w:pPr>
        <w:ind w:left="5040" w:hanging="720"/>
      </w:pPr>
      <w:rPr>
        <w:b w:val="1"/>
      </w:rPr>
    </w:lvl>
    <w:lvl w:ilvl="4">
      <w:start w:val="1"/>
      <w:numFmt w:val="decimal"/>
      <w:lvlText w:val="%1.%2.%3.%4.%5."/>
      <w:lvlJc w:val="left"/>
      <w:pPr>
        <w:ind w:left="6840" w:hanging="1080"/>
      </w:pPr>
      <w:rPr>
        <w:b w:val="1"/>
      </w:rPr>
    </w:lvl>
    <w:lvl w:ilvl="5">
      <w:start w:val="1"/>
      <w:numFmt w:val="decimal"/>
      <w:lvlText w:val="%1.%2.%3.%4.%5.%6."/>
      <w:lvlJc w:val="left"/>
      <w:pPr>
        <w:ind w:left="8280" w:hanging="1080"/>
      </w:pPr>
      <w:rPr>
        <w:b w:val="1"/>
      </w:rPr>
    </w:lvl>
    <w:lvl w:ilvl="6">
      <w:start w:val="1"/>
      <w:numFmt w:val="decimal"/>
      <w:lvlText w:val="%1.%2.%3.%4.%5.%6.%7."/>
      <w:lvlJc w:val="left"/>
      <w:pPr>
        <w:ind w:left="10080" w:hanging="1440"/>
      </w:pPr>
      <w:rPr>
        <w:b w:val="1"/>
      </w:rPr>
    </w:lvl>
    <w:lvl w:ilvl="7">
      <w:start w:val="1"/>
      <w:numFmt w:val="decimal"/>
      <w:lvlText w:val="%1.%2.%3.%4.%5.%6.%7.%8."/>
      <w:lvlJc w:val="left"/>
      <w:pPr>
        <w:ind w:left="11520" w:hanging="1440"/>
      </w:pPr>
      <w:rPr>
        <w:b w:val="1"/>
      </w:rPr>
    </w:lvl>
    <w:lvl w:ilvl="8">
      <w:start w:val="1"/>
      <w:numFmt w:val="decimal"/>
      <w:lvlText w:val="%1.%2.%3.%4.%5.%6.%7.%8.%9."/>
      <w:lvlJc w:val="left"/>
      <w:pPr>
        <w:ind w:left="13320" w:hanging="1800"/>
      </w:pPr>
      <w:rPr>
        <w:b w:val="1"/>
      </w:rPr>
    </w:lvl>
  </w:abstractNum>
  <w:abstractNum w:abstractNumId="2">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Calibri" w:cs="Calibri" w:eastAsia="Calibri" w:hAnsi="Calibri"/>
        <w:sz w:val="22"/>
        <w:szCs w:val="22"/>
        <w:lang w:val="tr-T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Balk1">
    <w:name w:val="heading 1"/>
    <w:basedOn w:val="Normal"/>
    <w:next w:val="Normal"/>
    <w:uiPriority w:val="9"/>
    <w:qFormat w:val="1"/>
    <w:pPr>
      <w:keepNext w:val="1"/>
      <w:keepLines w:val="1"/>
      <w:spacing w:after="120" w:before="480"/>
      <w:outlineLvl w:val="0"/>
    </w:pPr>
    <w:rPr>
      <w:b w:val="1"/>
      <w:sz w:val="48"/>
      <w:szCs w:val="48"/>
    </w:rPr>
  </w:style>
  <w:style w:type="paragraph" w:styleId="Balk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Balk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Balk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Balk5">
    <w:name w:val="heading 5"/>
    <w:basedOn w:val="Normal"/>
    <w:next w:val="Normal"/>
    <w:uiPriority w:val="9"/>
    <w:semiHidden w:val="1"/>
    <w:unhideWhenUsed w:val="1"/>
    <w:qFormat w:val="1"/>
    <w:pPr>
      <w:keepNext w:val="1"/>
      <w:keepLines w:val="1"/>
      <w:spacing w:after="40" w:before="220"/>
      <w:outlineLvl w:val="4"/>
    </w:pPr>
    <w:rPr>
      <w:b w:val="1"/>
    </w:rPr>
  </w:style>
  <w:style w:type="paragraph" w:styleId="Balk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VarsaylanParagrafYazTipi" w:default="1">
    <w:name w:val="Default Paragraph Font"/>
    <w:uiPriority w:val="1"/>
    <w:semiHidden w:val="1"/>
    <w:unhideWhenUsed w:val="1"/>
  </w:style>
  <w:style w:type="table" w:styleId="NormalTablo" w:default="1">
    <w:name w:val="Normal Table"/>
    <w:uiPriority w:val="99"/>
    <w:semiHidden w:val="1"/>
    <w:unhideWhenUsed w:val="1"/>
    <w:tblPr>
      <w:tblInd w:w="0.0" w:type="dxa"/>
      <w:tblCellMar>
        <w:top w:w="0.0" w:type="dxa"/>
        <w:left w:w="108.0" w:type="dxa"/>
        <w:bottom w:w="0.0" w:type="dxa"/>
        <w:right w:w="108.0" w:type="dxa"/>
      </w:tblCellMar>
    </w:tblPr>
  </w:style>
  <w:style w:type="numbering" w:styleId="ListeYok"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KonuBal">
    <w:name w:val="Title"/>
    <w:basedOn w:val="Normal"/>
    <w:next w:val="Normal"/>
    <w:uiPriority w:val="10"/>
    <w:qFormat w:val="1"/>
    <w:pPr>
      <w:keepNext w:val="1"/>
      <w:keepLines w:val="1"/>
      <w:spacing w:after="120" w:before="480"/>
    </w:pPr>
    <w:rPr>
      <w:b w:val="1"/>
      <w:sz w:val="72"/>
      <w:szCs w:val="72"/>
    </w:rPr>
  </w:style>
  <w:style w:type="table" w:styleId="TableNormal1" w:customStyle="1">
    <w:name w:val="Table Normal1"/>
    <w:tblPr>
      <w:tblCellMar>
        <w:top w:w="0.0" w:type="dxa"/>
        <w:left w:w="0.0" w:type="dxa"/>
        <w:bottom w:w="0.0" w:type="dxa"/>
        <w:right w:w="0.0" w:type="dxa"/>
      </w:tblCellMar>
    </w:tblPr>
  </w:style>
  <w:style w:type="table" w:styleId="TableNormal10" w:customStyle="1">
    <w:name w:val="Table Normal1"/>
    <w:tblPr>
      <w:tblCellMar>
        <w:top w:w="0.0" w:type="dxa"/>
        <w:left w:w="0.0" w:type="dxa"/>
        <w:bottom w:w="0.0" w:type="dxa"/>
        <w:right w:w="0.0" w:type="dxa"/>
      </w:tblCellMar>
    </w:tblPr>
  </w:style>
  <w:style w:type="character" w:styleId="Kpr">
    <w:name w:val="Hyperlink"/>
    <w:basedOn w:val="VarsaylanParagrafYazTipi"/>
    <w:uiPriority w:val="99"/>
    <w:unhideWhenUsed w:val="1"/>
    <w:rsid w:val="00DB3CEF"/>
    <w:rPr>
      <w:color w:val="0563c1" w:themeColor="hyperlink"/>
      <w:u w:val="single"/>
    </w:rPr>
  </w:style>
  <w:style w:type="paragraph" w:styleId="ListeParagraf">
    <w:name w:val="List Paragraph"/>
    <w:basedOn w:val="Normal"/>
    <w:uiPriority w:val="34"/>
    <w:qFormat w:val="1"/>
    <w:rsid w:val="009D2264"/>
    <w:pPr>
      <w:ind w:left="720"/>
      <w:contextualSpacing w:val="1"/>
    </w:pPr>
  </w:style>
  <w:style w:type="paragraph" w:styleId="Altyaz">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10"/>
    <w:tblPr>
      <w:tblStyleRowBandSize w:val="1"/>
      <w:tblStyleColBandSize w:val="1"/>
      <w:tblCellMar>
        <w:top w:w="15.0" w:type="dxa"/>
        <w:left w:w="15.0" w:type="dxa"/>
        <w:bottom w:w="15.0" w:type="dxa"/>
        <w:right w:w="15.0" w:type="dxa"/>
      </w:tblCellMar>
    </w:tblPr>
  </w:style>
  <w:style w:type="table" w:styleId="a0" w:customStyle="1">
    <w:basedOn w:val="TableNormal10"/>
    <w:tblPr>
      <w:tblStyleRowBandSize w:val="1"/>
      <w:tblStyleColBandSize w:val="1"/>
      <w:tblCellMar>
        <w:top w:w="15.0" w:type="dxa"/>
        <w:left w:w="15.0" w:type="dxa"/>
        <w:bottom w:w="15.0" w:type="dxa"/>
        <w:right w:w="15.0" w:type="dxa"/>
      </w:tblCellMar>
    </w:tblPr>
  </w:style>
  <w:style w:type="table" w:styleId="a1" w:customStyle="1">
    <w:basedOn w:val="TableNormal10"/>
    <w:tblPr>
      <w:tblStyleRowBandSize w:val="1"/>
      <w:tblStyleColBandSize w:val="1"/>
      <w:tblCellMar>
        <w:top w:w="15.0" w:type="dxa"/>
        <w:left w:w="15.0" w:type="dxa"/>
        <w:bottom w:w="15.0" w:type="dxa"/>
        <w:right w:w="15.0" w:type="dxa"/>
      </w:tblCellMar>
    </w:tblPr>
  </w:style>
  <w:style w:type="paragraph" w:styleId="Dzeltme">
    <w:name w:val="Revision"/>
    <w:hidden w:val="1"/>
    <w:uiPriority w:val="99"/>
    <w:semiHidden w:val="1"/>
    <w:rsid w:val="005165DD"/>
    <w:pPr>
      <w:spacing w:after="0" w:line="240" w:lineRule="auto"/>
    </w:pPr>
  </w:style>
  <w:style w:type="table" w:styleId="a2" w:customStyle="1">
    <w:basedOn w:val="NormalTablo"/>
    <w:tblPr>
      <w:tblStyleRowBandSize w:val="1"/>
      <w:tblStyleColBandSize w:val="1"/>
      <w:tblCellMar>
        <w:top w:w="15.0" w:type="dxa"/>
        <w:left w:w="15.0" w:type="dxa"/>
        <w:bottom w:w="15.0" w:type="dxa"/>
        <w:right w:w="15.0" w:type="dxa"/>
      </w:tblCellMar>
    </w:tblPr>
  </w:style>
  <w:style w:type="table" w:styleId="a3" w:customStyle="1">
    <w:basedOn w:val="NormalTablo"/>
    <w:tblPr>
      <w:tblStyleRowBandSize w:val="1"/>
      <w:tblStyleColBandSize w:val="1"/>
      <w:tblCellMar>
        <w:top w:w="15.0" w:type="dxa"/>
        <w:left w:w="15.0" w:type="dxa"/>
        <w:bottom w:w="15.0" w:type="dxa"/>
        <w:right w:w="15.0" w:type="dxa"/>
      </w:tblCellMar>
    </w:tblPr>
  </w:style>
  <w:style w:type="table" w:styleId="a4" w:customStyle="1">
    <w:basedOn w:val="NormalTablo"/>
    <w:tblPr>
      <w:tblStyleRowBandSize w:val="1"/>
      <w:tblStyleColBandSize w:val="1"/>
      <w:tblCellMar>
        <w:top w:w="15.0" w:type="dxa"/>
        <w:left w:w="15.0" w:type="dxa"/>
        <w:bottom w:w="15.0" w:type="dxa"/>
        <w:right w:w="15.0" w:type="dxa"/>
      </w:tblCellMar>
    </w:tblPr>
  </w:style>
  <w:style w:type="table" w:styleId="a5" w:customStyle="1">
    <w:basedOn w:val="TableNormal"/>
    <w:tblPr>
      <w:tblStyleRowBandSize w:val="1"/>
      <w:tblStyleColBandSize w:val="1"/>
      <w:tblCellMar>
        <w:top w:w="15.0" w:type="dxa"/>
        <w:left w:w="15.0" w:type="dxa"/>
        <w:bottom w:w="15.0" w:type="dxa"/>
        <w:right w:w="15.0" w:type="dxa"/>
      </w:tblCellMar>
    </w:tblPr>
  </w:style>
  <w:style w:type="table" w:styleId="a6" w:customStyle="1">
    <w:basedOn w:val="TableNormal"/>
    <w:tblPr>
      <w:tblStyleRowBandSize w:val="1"/>
      <w:tblStyleColBandSize w:val="1"/>
      <w:tblCellMar>
        <w:top w:w="15.0" w:type="dxa"/>
        <w:left w:w="15.0" w:type="dxa"/>
        <w:bottom w:w="15.0" w:type="dxa"/>
        <w:right w:w="15.0" w:type="dxa"/>
      </w:tblCellMar>
    </w:tblPr>
  </w:style>
  <w:style w:type="table" w:styleId="a7" w:customStyle="1">
    <w:basedOn w:val="TableNormal"/>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dogangonulg@mef.edu.tr" TargetMode="External"/><Relationship Id="rId8" Type="http://schemas.openxmlformats.org/officeDocument/2006/relationships/hyperlink" Target="http://www.mef.edu.t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nvIiUlwH4DRKZD/aUm9dmC1jPA==">CgMxLjAyCGguZ2pkZ3hzOAByITE3dkdYdXprclFSZUNyYzBPRHhCQWd3aWZVVmhTT3g1bw==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2023-06-08T10:03:00Z</dcterms:created>
  <dc:creator>Gökez</dc:creator>
</cp:coreProperties>
</file>